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8ED2" w14:textId="21F91AD8" w:rsidR="00803E37" w:rsidRPr="00B744A1" w:rsidRDefault="000A0FCE" w:rsidP="002E1351">
      <w:pPr>
        <w:pStyle w:val="Ttulo"/>
        <w:jc w:val="center"/>
        <w:rPr>
          <w:rFonts w:ascii="Garamond" w:hAnsi="Garamond"/>
          <w:sz w:val="72"/>
          <w:szCs w:val="72"/>
        </w:rPr>
      </w:pPr>
      <w:r w:rsidRPr="00B744A1">
        <w:rPr>
          <w:rFonts w:ascii="Garamond" w:hAnsi="Garamond"/>
          <w:sz w:val="72"/>
          <w:szCs w:val="72"/>
        </w:rPr>
        <w:t>Plan de Integridad y Cumplimiento</w:t>
      </w:r>
    </w:p>
    <w:p w14:paraId="609B021B" w14:textId="35ACBDE2" w:rsidR="000A0FCE" w:rsidRPr="00B744A1" w:rsidRDefault="000A0FCE">
      <w:pPr>
        <w:rPr>
          <w:rFonts w:ascii="Garamond" w:hAnsi="Garamond"/>
          <w:lang w:val="es-ES"/>
        </w:rPr>
      </w:pPr>
    </w:p>
    <w:p w14:paraId="1895B2EA" w14:textId="77777777" w:rsidR="00B744A1" w:rsidRDefault="00B744A1" w:rsidP="002E1351">
      <w:pPr>
        <w:jc w:val="both"/>
        <w:rPr>
          <w:rFonts w:ascii="Garamond" w:hAnsi="Garamond" w:cs="Arial"/>
          <w:shd w:val="clear" w:color="auto" w:fill="FFFFFF"/>
        </w:rPr>
      </w:pPr>
    </w:p>
    <w:p w14:paraId="298813AD" w14:textId="05FDAF72" w:rsidR="00A95467" w:rsidRPr="00B744A1" w:rsidRDefault="00105CBD" w:rsidP="002E1351">
      <w:pPr>
        <w:jc w:val="both"/>
        <w:rPr>
          <w:rFonts w:ascii="Garamond" w:hAnsi="Garamond" w:cs="Arial"/>
          <w:sz w:val="24"/>
          <w:szCs w:val="24"/>
          <w:shd w:val="clear" w:color="auto" w:fill="FFFFFF"/>
        </w:rPr>
      </w:pPr>
      <w:r>
        <w:rPr>
          <w:rFonts w:ascii="Garamond" w:hAnsi="Garamond" w:cs="Arial"/>
          <w:b/>
          <w:bCs/>
          <w:sz w:val="24"/>
          <w:szCs w:val="24"/>
          <w:shd w:val="clear" w:color="auto" w:fill="FFFFFF"/>
        </w:rPr>
        <w:t>SOLUZIONI</w:t>
      </w:r>
      <w:r w:rsidR="00A95467" w:rsidRPr="00E139F9">
        <w:rPr>
          <w:rFonts w:ascii="Garamond" w:hAnsi="Garamond" w:cs="Arial"/>
          <w:b/>
          <w:bCs/>
          <w:sz w:val="24"/>
          <w:szCs w:val="24"/>
          <w:shd w:val="clear" w:color="auto" w:fill="FFFFFF"/>
        </w:rPr>
        <w:t xml:space="preserve"> SA</w:t>
      </w:r>
      <w:r w:rsidR="00A95467" w:rsidRPr="00B744A1">
        <w:rPr>
          <w:rFonts w:ascii="Garamond" w:hAnsi="Garamond" w:cs="Arial"/>
          <w:sz w:val="24"/>
          <w:szCs w:val="24"/>
          <w:shd w:val="clear" w:color="auto" w:fill="FFFFFF"/>
        </w:rPr>
        <w:t xml:space="preserve"> se encuentra </w:t>
      </w:r>
      <w:r w:rsidR="000A0FCE" w:rsidRPr="00B744A1">
        <w:rPr>
          <w:rFonts w:ascii="Garamond" w:hAnsi="Garamond" w:cs="Arial"/>
          <w:sz w:val="24"/>
          <w:szCs w:val="24"/>
          <w:shd w:val="clear" w:color="auto" w:fill="FFFFFF"/>
        </w:rPr>
        <w:t xml:space="preserve">comprometida con el cumplimiento de las disposiciones vigentes en materia de </w:t>
      </w:r>
      <w:r w:rsidR="00A95467" w:rsidRPr="00B744A1">
        <w:rPr>
          <w:rFonts w:ascii="Garamond" w:hAnsi="Garamond" w:cs="Arial"/>
          <w:sz w:val="24"/>
          <w:szCs w:val="24"/>
          <w:shd w:val="clear" w:color="auto" w:fill="FFFFFF"/>
        </w:rPr>
        <w:t xml:space="preserve">integridad y transparencia </w:t>
      </w:r>
      <w:r w:rsidR="000A0FCE" w:rsidRPr="00B744A1">
        <w:rPr>
          <w:rFonts w:ascii="Garamond" w:hAnsi="Garamond" w:cs="Arial"/>
          <w:sz w:val="24"/>
          <w:szCs w:val="24"/>
          <w:shd w:val="clear" w:color="auto" w:fill="FFFFFF"/>
        </w:rPr>
        <w:t>en las actividades que desarrolla, y en consonancia con la Ley de Responsabilidad Penal Empresaria N° 27.401</w:t>
      </w:r>
      <w:r w:rsidR="00E305D9" w:rsidRPr="00B744A1">
        <w:rPr>
          <w:rStyle w:val="Refdenotaalpie"/>
          <w:rFonts w:ascii="Garamond" w:hAnsi="Garamond" w:cs="Arial"/>
          <w:sz w:val="24"/>
          <w:szCs w:val="24"/>
          <w:shd w:val="clear" w:color="auto" w:fill="FFFFFF"/>
        </w:rPr>
        <w:footnoteReference w:id="1"/>
      </w:r>
      <w:r w:rsidR="000A0FCE" w:rsidRPr="00B744A1">
        <w:rPr>
          <w:rFonts w:ascii="Garamond" w:hAnsi="Garamond" w:cs="Arial"/>
          <w:sz w:val="24"/>
          <w:szCs w:val="24"/>
          <w:shd w:val="clear" w:color="auto" w:fill="FFFFFF"/>
        </w:rPr>
        <w:t xml:space="preserve">, su Decreto Reglamentario N° 277/18, </w:t>
      </w:r>
      <w:r w:rsidR="00A95467" w:rsidRPr="00B744A1">
        <w:rPr>
          <w:rFonts w:ascii="Garamond" w:hAnsi="Garamond" w:cs="Arial"/>
          <w:sz w:val="24"/>
          <w:szCs w:val="24"/>
          <w:shd w:val="clear" w:color="auto" w:fill="FFFFFF"/>
        </w:rPr>
        <w:t xml:space="preserve">y la Resolución 186/2018 </w:t>
      </w:r>
      <w:r w:rsidR="000A0FCE" w:rsidRPr="00B744A1">
        <w:rPr>
          <w:rFonts w:ascii="Garamond" w:hAnsi="Garamond" w:cs="Arial"/>
          <w:sz w:val="24"/>
          <w:szCs w:val="24"/>
          <w:shd w:val="clear" w:color="auto" w:fill="FFFFFF"/>
        </w:rPr>
        <w:t>de la Oficina Anticorrupción</w:t>
      </w:r>
      <w:r w:rsidR="00A95467" w:rsidRPr="00B744A1">
        <w:rPr>
          <w:rFonts w:ascii="Garamond" w:hAnsi="Garamond" w:cs="Arial"/>
          <w:sz w:val="24"/>
          <w:szCs w:val="24"/>
          <w:shd w:val="clear" w:color="auto" w:fill="FFFFFF"/>
        </w:rPr>
        <w:t xml:space="preserve"> del Ministerio de Justicia y Derechos Humanos de la Nación, ha desarrollado </w:t>
      </w:r>
      <w:r w:rsidR="000A0FCE" w:rsidRPr="00B744A1">
        <w:rPr>
          <w:rFonts w:ascii="Garamond" w:hAnsi="Garamond" w:cs="Arial"/>
          <w:sz w:val="24"/>
          <w:szCs w:val="24"/>
          <w:shd w:val="clear" w:color="auto" w:fill="FFFFFF"/>
        </w:rPr>
        <w:t xml:space="preserve">un </w:t>
      </w:r>
      <w:r w:rsidR="000A0FCE" w:rsidRPr="0088539C">
        <w:rPr>
          <w:rFonts w:ascii="Garamond" w:hAnsi="Garamond" w:cs="Arial"/>
          <w:b/>
          <w:bCs/>
          <w:sz w:val="24"/>
          <w:szCs w:val="24"/>
          <w:shd w:val="clear" w:color="auto" w:fill="FFFFFF"/>
        </w:rPr>
        <w:t>PROGRAMA DE INTEGRIDAD</w:t>
      </w:r>
      <w:r w:rsidR="000A0FCE" w:rsidRPr="00B744A1">
        <w:rPr>
          <w:rFonts w:ascii="Garamond" w:hAnsi="Garamond" w:cs="Arial"/>
          <w:sz w:val="24"/>
          <w:szCs w:val="24"/>
          <w:shd w:val="clear" w:color="auto" w:fill="FFFFFF"/>
        </w:rPr>
        <w:t xml:space="preserve"> conformado por</w:t>
      </w:r>
      <w:r w:rsidR="00A95467" w:rsidRPr="00B744A1">
        <w:rPr>
          <w:rFonts w:ascii="Garamond" w:hAnsi="Garamond" w:cs="Arial"/>
          <w:sz w:val="24"/>
          <w:szCs w:val="24"/>
          <w:shd w:val="clear" w:color="auto" w:fill="FFFFFF"/>
        </w:rPr>
        <w:t xml:space="preserve">: </w:t>
      </w:r>
      <w:r w:rsidR="000A0FCE" w:rsidRPr="00B744A1">
        <w:rPr>
          <w:rFonts w:ascii="Garamond" w:hAnsi="Garamond" w:cs="Arial"/>
          <w:sz w:val="24"/>
          <w:szCs w:val="24"/>
          <w:shd w:val="clear" w:color="auto" w:fill="FFFFFF"/>
        </w:rPr>
        <w:t xml:space="preserve"> </w:t>
      </w:r>
    </w:p>
    <w:p w14:paraId="0B20EDDE" w14:textId="77777777" w:rsidR="00A95467" w:rsidRPr="00B744A1" w:rsidRDefault="00A95467" w:rsidP="002E1351">
      <w:pPr>
        <w:jc w:val="both"/>
        <w:rPr>
          <w:rFonts w:ascii="Garamond" w:hAnsi="Garamond" w:cs="Arial"/>
          <w:sz w:val="24"/>
          <w:szCs w:val="24"/>
          <w:shd w:val="clear" w:color="auto" w:fill="FFFFFF"/>
        </w:rPr>
      </w:pPr>
    </w:p>
    <w:p w14:paraId="44B58CC2" w14:textId="20F2C2C9" w:rsidR="003D4F24" w:rsidRPr="00B744A1" w:rsidRDefault="003D4F24" w:rsidP="002E1351">
      <w:pPr>
        <w:pStyle w:val="Prrafodelista"/>
        <w:numPr>
          <w:ilvl w:val="0"/>
          <w:numId w:val="1"/>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El férreo compromiso del Directorio y los Accionistas de </w:t>
      </w:r>
      <w:r w:rsidR="00105CBD">
        <w:rPr>
          <w:rFonts w:ascii="Garamond" w:hAnsi="Garamond" w:cs="Arial"/>
          <w:b/>
          <w:bCs/>
          <w:sz w:val="24"/>
          <w:szCs w:val="24"/>
          <w:shd w:val="clear" w:color="auto" w:fill="FFFFFF"/>
        </w:rPr>
        <w:t>SOLUZIONI</w:t>
      </w:r>
      <w:r w:rsidRPr="0088539C">
        <w:rPr>
          <w:rFonts w:ascii="Garamond" w:hAnsi="Garamond" w:cs="Arial"/>
          <w:b/>
          <w:bCs/>
          <w:sz w:val="24"/>
          <w:szCs w:val="24"/>
          <w:shd w:val="clear" w:color="auto" w:fill="FFFFFF"/>
        </w:rPr>
        <w:t xml:space="preserve"> SA</w:t>
      </w:r>
      <w:r w:rsidRPr="00B744A1">
        <w:rPr>
          <w:rFonts w:ascii="Garamond" w:hAnsi="Garamond" w:cs="Arial"/>
          <w:sz w:val="24"/>
          <w:szCs w:val="24"/>
          <w:shd w:val="clear" w:color="auto" w:fill="FFFFFF"/>
        </w:rPr>
        <w:t xml:space="preserve"> </w:t>
      </w:r>
      <w:r w:rsidR="002E1351" w:rsidRPr="00B744A1">
        <w:rPr>
          <w:rFonts w:ascii="Garamond" w:hAnsi="Garamond" w:cs="Arial"/>
          <w:sz w:val="24"/>
          <w:szCs w:val="24"/>
          <w:shd w:val="clear" w:color="auto" w:fill="FFFFFF"/>
        </w:rPr>
        <w:t xml:space="preserve">de inculcar una cultura </w:t>
      </w:r>
      <w:r w:rsidR="00F26D1F" w:rsidRPr="00B744A1">
        <w:rPr>
          <w:rFonts w:ascii="Garamond" w:hAnsi="Garamond" w:cs="Arial"/>
          <w:sz w:val="24"/>
          <w:szCs w:val="24"/>
          <w:shd w:val="clear" w:color="auto" w:fill="FFFFFF"/>
        </w:rPr>
        <w:t>de transparencia e integridad</w:t>
      </w:r>
      <w:r w:rsidR="002E1351" w:rsidRPr="00B744A1">
        <w:rPr>
          <w:rFonts w:ascii="Garamond" w:hAnsi="Garamond" w:cs="Arial"/>
          <w:sz w:val="24"/>
          <w:szCs w:val="24"/>
          <w:shd w:val="clear" w:color="auto" w:fill="FFFFFF"/>
        </w:rPr>
        <w:t xml:space="preserve"> en todos los niveles de la Empresa</w:t>
      </w:r>
      <w:r w:rsidR="00F26D1F" w:rsidRPr="00B744A1">
        <w:rPr>
          <w:rFonts w:ascii="Garamond" w:hAnsi="Garamond" w:cs="Arial"/>
          <w:sz w:val="24"/>
          <w:szCs w:val="24"/>
          <w:shd w:val="clear" w:color="auto" w:fill="FFFFFF"/>
        </w:rPr>
        <w:t>.</w:t>
      </w:r>
    </w:p>
    <w:p w14:paraId="23E33ED6" w14:textId="77777777" w:rsidR="003D4F24" w:rsidRPr="00B744A1" w:rsidRDefault="003D4F24" w:rsidP="002E1351">
      <w:pPr>
        <w:pStyle w:val="Prrafodelista"/>
        <w:jc w:val="both"/>
        <w:rPr>
          <w:rFonts w:ascii="Garamond" w:hAnsi="Garamond" w:cs="Arial"/>
          <w:sz w:val="24"/>
          <w:szCs w:val="24"/>
          <w:shd w:val="clear" w:color="auto" w:fill="FFFFFF"/>
        </w:rPr>
      </w:pPr>
    </w:p>
    <w:p w14:paraId="6DDBF98B" w14:textId="58FDE7A0" w:rsidR="00A95467" w:rsidRPr="0088539C" w:rsidRDefault="00DF4DCA" w:rsidP="002E1351">
      <w:pPr>
        <w:pStyle w:val="Prrafodelista"/>
        <w:numPr>
          <w:ilvl w:val="0"/>
          <w:numId w:val="1"/>
        </w:numPr>
        <w:jc w:val="both"/>
        <w:rPr>
          <w:rFonts w:ascii="Garamond" w:hAnsi="Garamond" w:cs="Arial"/>
          <w:b/>
          <w:bCs/>
          <w:sz w:val="24"/>
          <w:szCs w:val="24"/>
          <w:shd w:val="clear" w:color="auto" w:fill="FFFFFF"/>
        </w:rPr>
      </w:pPr>
      <w:r w:rsidRPr="00B744A1">
        <w:rPr>
          <w:rFonts w:ascii="Garamond" w:hAnsi="Garamond" w:cs="Arial"/>
          <w:sz w:val="24"/>
          <w:szCs w:val="24"/>
          <w:shd w:val="clear" w:color="auto" w:fill="FFFFFF"/>
        </w:rPr>
        <w:t xml:space="preserve">El </w:t>
      </w:r>
      <w:r w:rsidR="00A95467" w:rsidRPr="00B744A1">
        <w:rPr>
          <w:rFonts w:ascii="Garamond" w:hAnsi="Garamond" w:cs="Arial"/>
          <w:sz w:val="24"/>
          <w:szCs w:val="24"/>
          <w:shd w:val="clear" w:color="auto" w:fill="FFFFFF"/>
        </w:rPr>
        <w:t>Código de Ética y Conducta,</w:t>
      </w:r>
      <w:r w:rsidR="002E1351" w:rsidRPr="00B744A1">
        <w:rPr>
          <w:rFonts w:ascii="Garamond" w:hAnsi="Garamond" w:cs="Arial"/>
          <w:sz w:val="24"/>
          <w:szCs w:val="24"/>
          <w:shd w:val="clear" w:color="auto" w:fill="FFFFFF"/>
        </w:rPr>
        <w:t xml:space="preserve"> aprobado por el Directorio de </w:t>
      </w:r>
      <w:r w:rsidR="00105CBD">
        <w:rPr>
          <w:rFonts w:ascii="Garamond" w:hAnsi="Garamond" w:cs="Arial"/>
          <w:b/>
          <w:bCs/>
          <w:sz w:val="24"/>
          <w:szCs w:val="24"/>
          <w:shd w:val="clear" w:color="auto" w:fill="FFFFFF"/>
        </w:rPr>
        <w:t>SOLUZIONI</w:t>
      </w:r>
      <w:r w:rsidR="002E1351" w:rsidRPr="0088539C">
        <w:rPr>
          <w:rFonts w:ascii="Garamond" w:hAnsi="Garamond" w:cs="Arial"/>
          <w:b/>
          <w:bCs/>
          <w:sz w:val="24"/>
          <w:szCs w:val="24"/>
          <w:shd w:val="clear" w:color="auto" w:fill="FFFFFF"/>
        </w:rPr>
        <w:t xml:space="preserve"> SA. </w:t>
      </w:r>
    </w:p>
    <w:p w14:paraId="1BB7DF43" w14:textId="77777777" w:rsidR="00DF4DCA" w:rsidRPr="00B744A1" w:rsidRDefault="00DF4DCA" w:rsidP="002E1351">
      <w:pPr>
        <w:pStyle w:val="Prrafodelista"/>
        <w:jc w:val="both"/>
        <w:rPr>
          <w:rFonts w:ascii="Garamond" w:hAnsi="Garamond" w:cs="Arial"/>
          <w:sz w:val="24"/>
          <w:szCs w:val="24"/>
          <w:shd w:val="clear" w:color="auto" w:fill="FFFFFF"/>
        </w:rPr>
      </w:pPr>
    </w:p>
    <w:p w14:paraId="27B8C9C9" w14:textId="42D0694D" w:rsidR="00A95467" w:rsidRPr="00B744A1" w:rsidRDefault="00DF4DCA" w:rsidP="002E1351">
      <w:pPr>
        <w:pStyle w:val="Prrafodelista"/>
        <w:numPr>
          <w:ilvl w:val="0"/>
          <w:numId w:val="1"/>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Las r</w:t>
      </w:r>
      <w:r w:rsidR="00A95467" w:rsidRPr="00B744A1">
        <w:rPr>
          <w:rFonts w:ascii="Garamond" w:hAnsi="Garamond" w:cs="Arial"/>
          <w:sz w:val="24"/>
          <w:szCs w:val="24"/>
          <w:shd w:val="clear" w:color="auto" w:fill="FFFFFF"/>
        </w:rPr>
        <w:t xml:space="preserve">eglas y procedimientos para prevenir ilícitos en la compras y contrataciones y otras interacciones con el sector público, </w:t>
      </w:r>
    </w:p>
    <w:p w14:paraId="00BC1702" w14:textId="77777777" w:rsidR="00DF4DCA" w:rsidRPr="00B744A1" w:rsidRDefault="00DF4DCA" w:rsidP="002E1351">
      <w:pPr>
        <w:pStyle w:val="Prrafodelista"/>
        <w:jc w:val="both"/>
        <w:rPr>
          <w:rFonts w:ascii="Garamond" w:hAnsi="Garamond" w:cs="Arial"/>
          <w:sz w:val="24"/>
          <w:szCs w:val="24"/>
          <w:shd w:val="clear" w:color="auto" w:fill="FFFFFF"/>
        </w:rPr>
      </w:pPr>
    </w:p>
    <w:p w14:paraId="08D2BAFA" w14:textId="1B78E89A" w:rsidR="00A95467" w:rsidRPr="00B744A1" w:rsidRDefault="00DF4DCA" w:rsidP="002E1351">
      <w:pPr>
        <w:pStyle w:val="Prrafodelista"/>
        <w:numPr>
          <w:ilvl w:val="0"/>
          <w:numId w:val="1"/>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La designación de un </w:t>
      </w:r>
      <w:r w:rsidR="00A95467" w:rsidRPr="00B744A1">
        <w:rPr>
          <w:rFonts w:ascii="Garamond" w:hAnsi="Garamond" w:cs="Arial"/>
          <w:sz w:val="24"/>
          <w:szCs w:val="24"/>
          <w:shd w:val="clear" w:color="auto" w:fill="FFFFFF"/>
        </w:rPr>
        <w:t>Responsable Interno</w:t>
      </w:r>
      <w:r w:rsidRPr="00B744A1">
        <w:rPr>
          <w:rFonts w:ascii="Garamond" w:hAnsi="Garamond" w:cs="Arial"/>
          <w:sz w:val="24"/>
          <w:szCs w:val="24"/>
          <w:shd w:val="clear" w:color="auto" w:fill="FFFFFF"/>
        </w:rPr>
        <w:t xml:space="preserve"> con características personales y jerárquicas adecuadas y dotado de los recursos necesarios para cumplir </w:t>
      </w:r>
      <w:r w:rsidR="002E1351" w:rsidRPr="00B744A1">
        <w:rPr>
          <w:rFonts w:ascii="Garamond" w:hAnsi="Garamond" w:cs="Arial"/>
          <w:sz w:val="24"/>
          <w:szCs w:val="24"/>
          <w:shd w:val="clear" w:color="auto" w:fill="FFFFFF"/>
        </w:rPr>
        <w:t xml:space="preserve">las </w:t>
      </w:r>
      <w:r w:rsidRPr="00B744A1">
        <w:rPr>
          <w:rFonts w:ascii="Garamond" w:hAnsi="Garamond" w:cs="Arial"/>
          <w:sz w:val="24"/>
          <w:szCs w:val="24"/>
          <w:shd w:val="clear" w:color="auto" w:fill="FFFFFF"/>
        </w:rPr>
        <w:t>funci</w:t>
      </w:r>
      <w:r w:rsidR="002E1351" w:rsidRPr="00B744A1">
        <w:rPr>
          <w:rFonts w:ascii="Garamond" w:hAnsi="Garamond" w:cs="Arial"/>
          <w:sz w:val="24"/>
          <w:szCs w:val="24"/>
          <w:shd w:val="clear" w:color="auto" w:fill="FFFFFF"/>
        </w:rPr>
        <w:t>ones asignadas en el Código de Ética y Cumplimiento</w:t>
      </w:r>
      <w:r w:rsidRPr="00B744A1">
        <w:rPr>
          <w:rFonts w:ascii="Garamond" w:hAnsi="Garamond" w:cs="Arial"/>
          <w:sz w:val="24"/>
          <w:szCs w:val="24"/>
          <w:shd w:val="clear" w:color="auto" w:fill="FFFFFF"/>
        </w:rPr>
        <w:t xml:space="preserve">. </w:t>
      </w:r>
    </w:p>
    <w:p w14:paraId="5D3C0118" w14:textId="77777777" w:rsidR="00A95467" w:rsidRPr="00B744A1" w:rsidRDefault="00A95467" w:rsidP="002E1351">
      <w:pPr>
        <w:ind w:left="360"/>
        <w:jc w:val="both"/>
        <w:rPr>
          <w:rFonts w:ascii="Garamond" w:hAnsi="Garamond" w:cs="Arial"/>
          <w:sz w:val="24"/>
          <w:szCs w:val="24"/>
          <w:shd w:val="clear" w:color="auto" w:fill="FFFFFF"/>
        </w:rPr>
      </w:pPr>
    </w:p>
    <w:p w14:paraId="7F1AD292" w14:textId="71F6A09F" w:rsidR="00DF4DCA" w:rsidRPr="00B744A1" w:rsidRDefault="003D4F24" w:rsidP="002E1351">
      <w:p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El Código de Ética y Conducta como matriz rectora del </w:t>
      </w:r>
      <w:r w:rsidRPr="0088539C">
        <w:rPr>
          <w:rFonts w:ascii="Garamond" w:hAnsi="Garamond" w:cs="Arial"/>
          <w:b/>
          <w:bCs/>
          <w:sz w:val="24"/>
          <w:szCs w:val="24"/>
          <w:shd w:val="clear" w:color="auto" w:fill="FFFFFF"/>
        </w:rPr>
        <w:t>Plan de Integridad</w:t>
      </w:r>
      <w:r w:rsidRPr="00B744A1">
        <w:rPr>
          <w:rFonts w:ascii="Garamond" w:hAnsi="Garamond" w:cs="Arial"/>
          <w:sz w:val="24"/>
          <w:szCs w:val="24"/>
          <w:shd w:val="clear" w:color="auto" w:fill="FFFFFF"/>
        </w:rPr>
        <w:t xml:space="preserve"> contiene: </w:t>
      </w:r>
    </w:p>
    <w:p w14:paraId="37CA50AC" w14:textId="77777777" w:rsidR="003D4F24" w:rsidRPr="00B744A1" w:rsidRDefault="003D4F24" w:rsidP="002E1351">
      <w:pPr>
        <w:jc w:val="both"/>
        <w:rPr>
          <w:rFonts w:ascii="Garamond" w:hAnsi="Garamond" w:cs="Arial"/>
          <w:sz w:val="24"/>
          <w:szCs w:val="24"/>
          <w:shd w:val="clear" w:color="auto" w:fill="FFFFFF"/>
        </w:rPr>
      </w:pPr>
    </w:p>
    <w:p w14:paraId="6785A5AE" w14:textId="3F7444E8" w:rsidR="003D4F24" w:rsidRPr="00B744A1" w:rsidRDefault="002E1351"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Las instrucciones al Responsable Interno para llevar adelante el </w:t>
      </w:r>
      <w:r w:rsidR="003D4F24" w:rsidRPr="00B744A1">
        <w:rPr>
          <w:rFonts w:ascii="Garamond" w:hAnsi="Garamond" w:cs="Arial"/>
          <w:sz w:val="24"/>
          <w:szCs w:val="24"/>
          <w:shd w:val="clear" w:color="auto" w:fill="FFFFFF"/>
        </w:rPr>
        <w:t>programa de Capacitación periódica,</w:t>
      </w:r>
    </w:p>
    <w:p w14:paraId="60C11A6B" w14:textId="77777777" w:rsidR="003D4F24" w:rsidRPr="00B744A1" w:rsidRDefault="003D4F24" w:rsidP="002E1351">
      <w:pPr>
        <w:pStyle w:val="Prrafodelista"/>
        <w:jc w:val="both"/>
        <w:rPr>
          <w:rFonts w:ascii="Garamond" w:hAnsi="Garamond" w:cs="Arial"/>
          <w:sz w:val="24"/>
          <w:szCs w:val="24"/>
          <w:shd w:val="clear" w:color="auto" w:fill="FFFFFF"/>
        </w:rPr>
      </w:pPr>
    </w:p>
    <w:p w14:paraId="6E63289F" w14:textId="53880A2F" w:rsidR="00DF4DCA" w:rsidRPr="00B744A1" w:rsidRDefault="00DF4DCA"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La implementación de un Canal </w:t>
      </w:r>
      <w:r w:rsidR="00103D58" w:rsidRPr="00B744A1">
        <w:rPr>
          <w:rFonts w:ascii="Garamond" w:hAnsi="Garamond" w:cs="Arial"/>
          <w:sz w:val="24"/>
          <w:szCs w:val="24"/>
          <w:shd w:val="clear" w:color="auto" w:fill="FFFFFF"/>
        </w:rPr>
        <w:t xml:space="preserve">de </w:t>
      </w:r>
      <w:r w:rsidRPr="00B744A1">
        <w:rPr>
          <w:rFonts w:ascii="Garamond" w:hAnsi="Garamond" w:cs="Arial"/>
          <w:sz w:val="24"/>
          <w:szCs w:val="24"/>
          <w:shd w:val="clear" w:color="auto" w:fill="FFFFFF"/>
        </w:rPr>
        <w:t>Línea Ética para denuncias y comunicaciones</w:t>
      </w:r>
      <w:r w:rsidR="00972D9C" w:rsidRPr="00B744A1">
        <w:rPr>
          <w:rFonts w:ascii="Garamond" w:hAnsi="Garamond" w:cs="Arial"/>
          <w:sz w:val="24"/>
          <w:szCs w:val="24"/>
          <w:shd w:val="clear" w:color="auto" w:fill="FFFFFF"/>
        </w:rPr>
        <w:t xml:space="preserve"> de incumplimientos con las normas del Código de Ética y cumplimiento. El Canal </w:t>
      </w:r>
      <w:r w:rsidR="00103D58" w:rsidRPr="00B744A1">
        <w:rPr>
          <w:rFonts w:ascii="Garamond" w:hAnsi="Garamond" w:cs="Arial"/>
          <w:sz w:val="24"/>
          <w:szCs w:val="24"/>
          <w:shd w:val="clear" w:color="auto" w:fill="FFFFFF"/>
        </w:rPr>
        <w:t xml:space="preserve">de </w:t>
      </w:r>
      <w:r w:rsidR="00972D9C" w:rsidRPr="00B744A1">
        <w:rPr>
          <w:rFonts w:ascii="Garamond" w:hAnsi="Garamond" w:cs="Arial"/>
          <w:sz w:val="24"/>
          <w:szCs w:val="24"/>
          <w:shd w:val="clear" w:color="auto" w:fill="FFFFFF"/>
        </w:rPr>
        <w:t>L</w:t>
      </w:r>
      <w:r w:rsidR="00103D58" w:rsidRPr="00B744A1">
        <w:rPr>
          <w:rFonts w:ascii="Garamond" w:hAnsi="Garamond" w:cs="Arial"/>
          <w:sz w:val="24"/>
          <w:szCs w:val="24"/>
          <w:shd w:val="clear" w:color="auto" w:fill="FFFFFF"/>
        </w:rPr>
        <w:t>í</w:t>
      </w:r>
      <w:r w:rsidR="00972D9C" w:rsidRPr="00B744A1">
        <w:rPr>
          <w:rFonts w:ascii="Garamond" w:hAnsi="Garamond" w:cs="Arial"/>
          <w:sz w:val="24"/>
          <w:szCs w:val="24"/>
          <w:shd w:val="clear" w:color="auto" w:fill="FFFFFF"/>
        </w:rPr>
        <w:t xml:space="preserve">nea Ética </w:t>
      </w:r>
      <w:r w:rsidRPr="00B744A1">
        <w:rPr>
          <w:rFonts w:ascii="Garamond" w:hAnsi="Garamond" w:cs="Arial"/>
          <w:sz w:val="24"/>
          <w:szCs w:val="24"/>
          <w:shd w:val="clear" w:color="auto" w:fill="FFFFFF"/>
        </w:rPr>
        <w:t xml:space="preserve">se encuentra accesible tanto a personas internas como a personas externas a </w:t>
      </w:r>
      <w:r w:rsidR="00105CBD">
        <w:rPr>
          <w:rFonts w:ascii="Garamond" w:hAnsi="Garamond" w:cs="Arial"/>
          <w:b/>
          <w:bCs/>
          <w:sz w:val="24"/>
          <w:szCs w:val="24"/>
          <w:shd w:val="clear" w:color="auto" w:fill="FFFFFF"/>
        </w:rPr>
        <w:t>SOLUZIONI</w:t>
      </w:r>
      <w:r w:rsidRPr="00E139F9">
        <w:rPr>
          <w:rFonts w:ascii="Garamond" w:hAnsi="Garamond" w:cs="Arial"/>
          <w:b/>
          <w:bCs/>
          <w:sz w:val="24"/>
          <w:szCs w:val="24"/>
          <w:shd w:val="clear" w:color="auto" w:fill="FFFFFF"/>
        </w:rPr>
        <w:t xml:space="preserve"> SA</w:t>
      </w:r>
      <w:r w:rsidR="00972D9C" w:rsidRPr="00B744A1">
        <w:rPr>
          <w:rFonts w:ascii="Garamond" w:hAnsi="Garamond" w:cs="Arial"/>
          <w:sz w:val="24"/>
          <w:szCs w:val="24"/>
          <w:shd w:val="clear" w:color="auto" w:fill="FFFFFF"/>
        </w:rPr>
        <w:t xml:space="preserve">, el </w:t>
      </w:r>
      <w:r w:rsidRPr="00B744A1">
        <w:rPr>
          <w:rFonts w:ascii="Garamond" w:hAnsi="Garamond" w:cs="Arial"/>
          <w:sz w:val="24"/>
          <w:szCs w:val="24"/>
          <w:shd w:val="clear" w:color="auto" w:fill="FFFFFF"/>
        </w:rPr>
        <w:t xml:space="preserve">cual </w:t>
      </w:r>
      <w:r w:rsidR="00972D9C" w:rsidRPr="00B744A1">
        <w:rPr>
          <w:rFonts w:ascii="Garamond" w:hAnsi="Garamond" w:cs="Arial"/>
          <w:sz w:val="24"/>
          <w:szCs w:val="24"/>
          <w:shd w:val="clear" w:color="auto" w:fill="FFFFFF"/>
        </w:rPr>
        <w:t xml:space="preserve">cuanta con </w:t>
      </w:r>
      <w:r w:rsidRPr="00B744A1">
        <w:rPr>
          <w:rFonts w:ascii="Garamond" w:hAnsi="Garamond" w:cs="Arial"/>
          <w:sz w:val="24"/>
          <w:szCs w:val="24"/>
          <w:shd w:val="clear" w:color="auto" w:fill="FFFFFF"/>
        </w:rPr>
        <w:t xml:space="preserve">amplia difusión. </w:t>
      </w:r>
    </w:p>
    <w:p w14:paraId="6D1A5957" w14:textId="77777777" w:rsidR="00DF4DCA" w:rsidRPr="00B744A1" w:rsidRDefault="00DF4DCA" w:rsidP="002E1351">
      <w:pPr>
        <w:pStyle w:val="Prrafodelista"/>
        <w:jc w:val="both"/>
        <w:rPr>
          <w:rFonts w:ascii="Garamond" w:hAnsi="Garamond" w:cs="Arial"/>
          <w:sz w:val="24"/>
          <w:szCs w:val="24"/>
          <w:shd w:val="clear" w:color="auto" w:fill="FFFFFF"/>
        </w:rPr>
      </w:pPr>
    </w:p>
    <w:p w14:paraId="67958799" w14:textId="72AA9E17" w:rsidR="00DF4DCA" w:rsidRPr="00B744A1" w:rsidRDefault="00DF4DCA"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Decisiones de </w:t>
      </w:r>
      <w:r w:rsidR="002E1351" w:rsidRPr="00B744A1">
        <w:rPr>
          <w:rFonts w:ascii="Garamond" w:hAnsi="Garamond" w:cs="Arial"/>
          <w:sz w:val="24"/>
          <w:szCs w:val="24"/>
          <w:shd w:val="clear" w:color="auto" w:fill="FFFFFF"/>
        </w:rPr>
        <w:t>P</w:t>
      </w:r>
      <w:r w:rsidRPr="00B744A1">
        <w:rPr>
          <w:rFonts w:ascii="Garamond" w:hAnsi="Garamond" w:cs="Arial"/>
          <w:sz w:val="24"/>
          <w:szCs w:val="24"/>
          <w:shd w:val="clear" w:color="auto" w:fill="FFFFFF"/>
        </w:rPr>
        <w:t>rotección tanto de la identidad</w:t>
      </w:r>
      <w:r w:rsidR="002E1351" w:rsidRPr="00B744A1">
        <w:rPr>
          <w:rFonts w:ascii="Garamond" w:hAnsi="Garamond" w:cs="Arial"/>
          <w:sz w:val="24"/>
          <w:szCs w:val="24"/>
          <w:shd w:val="clear" w:color="auto" w:fill="FFFFFF"/>
        </w:rPr>
        <w:t xml:space="preserve"> (anonimato)</w:t>
      </w:r>
      <w:r w:rsidR="003D4F24" w:rsidRPr="00B744A1">
        <w:rPr>
          <w:rFonts w:ascii="Garamond" w:hAnsi="Garamond" w:cs="Arial"/>
          <w:sz w:val="24"/>
          <w:szCs w:val="24"/>
          <w:shd w:val="clear" w:color="auto" w:fill="FFFFFF"/>
        </w:rPr>
        <w:t>,</w:t>
      </w:r>
      <w:r w:rsidRPr="00B744A1">
        <w:rPr>
          <w:rFonts w:ascii="Garamond" w:hAnsi="Garamond" w:cs="Arial"/>
          <w:sz w:val="24"/>
          <w:szCs w:val="24"/>
          <w:shd w:val="clear" w:color="auto" w:fill="FFFFFF"/>
        </w:rPr>
        <w:t xml:space="preserve"> como de la información</w:t>
      </w:r>
      <w:r w:rsidR="002E1351" w:rsidRPr="00B744A1">
        <w:rPr>
          <w:rFonts w:ascii="Garamond" w:hAnsi="Garamond" w:cs="Arial"/>
          <w:sz w:val="24"/>
          <w:szCs w:val="24"/>
          <w:shd w:val="clear" w:color="auto" w:fill="FFFFFF"/>
        </w:rPr>
        <w:t xml:space="preserve"> (confidencialidad)</w:t>
      </w:r>
      <w:r w:rsidRPr="00B744A1">
        <w:rPr>
          <w:rFonts w:ascii="Garamond" w:hAnsi="Garamond" w:cs="Arial"/>
          <w:sz w:val="24"/>
          <w:szCs w:val="24"/>
          <w:shd w:val="clear" w:color="auto" w:fill="FFFFFF"/>
        </w:rPr>
        <w:t xml:space="preserve"> </w:t>
      </w:r>
      <w:r w:rsidR="003D4F24" w:rsidRPr="00B744A1">
        <w:rPr>
          <w:rFonts w:ascii="Garamond" w:hAnsi="Garamond" w:cs="Arial"/>
          <w:sz w:val="24"/>
          <w:szCs w:val="24"/>
          <w:shd w:val="clear" w:color="auto" w:fill="FFFFFF"/>
        </w:rPr>
        <w:t xml:space="preserve">brindada por </w:t>
      </w:r>
      <w:r w:rsidRPr="00B744A1">
        <w:rPr>
          <w:rFonts w:ascii="Garamond" w:hAnsi="Garamond" w:cs="Arial"/>
          <w:sz w:val="24"/>
          <w:szCs w:val="24"/>
          <w:shd w:val="clear" w:color="auto" w:fill="FFFFFF"/>
        </w:rPr>
        <w:t xml:space="preserve">el denunciante. </w:t>
      </w:r>
    </w:p>
    <w:p w14:paraId="6E7FD5CB" w14:textId="77777777" w:rsidR="00DF4DCA" w:rsidRPr="00B744A1" w:rsidRDefault="00DF4DCA" w:rsidP="002E1351">
      <w:pPr>
        <w:pStyle w:val="Prrafodelista"/>
        <w:jc w:val="both"/>
        <w:rPr>
          <w:rFonts w:ascii="Garamond" w:hAnsi="Garamond" w:cs="Arial"/>
          <w:sz w:val="24"/>
          <w:szCs w:val="24"/>
          <w:shd w:val="clear" w:color="auto" w:fill="FFFFFF"/>
        </w:rPr>
      </w:pPr>
    </w:p>
    <w:p w14:paraId="035330CC" w14:textId="5450DA45" w:rsidR="00D619BF" w:rsidRPr="00B744A1" w:rsidRDefault="00DF4DCA"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Procedimientos de </w:t>
      </w:r>
      <w:r w:rsidR="002E1351" w:rsidRPr="00B744A1">
        <w:rPr>
          <w:rFonts w:ascii="Garamond" w:hAnsi="Garamond" w:cs="Arial"/>
          <w:sz w:val="24"/>
          <w:szCs w:val="24"/>
          <w:shd w:val="clear" w:color="auto" w:fill="FFFFFF"/>
        </w:rPr>
        <w:t>Investigación</w:t>
      </w:r>
      <w:r w:rsidRPr="00B744A1">
        <w:rPr>
          <w:rFonts w:ascii="Garamond" w:hAnsi="Garamond" w:cs="Arial"/>
          <w:sz w:val="24"/>
          <w:szCs w:val="24"/>
          <w:shd w:val="clear" w:color="auto" w:fill="FFFFFF"/>
        </w:rPr>
        <w:t xml:space="preserve"> de denuncias</w:t>
      </w:r>
      <w:r w:rsidR="003D4F24" w:rsidRPr="00B744A1">
        <w:rPr>
          <w:rFonts w:ascii="Garamond" w:hAnsi="Garamond" w:cs="Arial"/>
          <w:sz w:val="24"/>
          <w:szCs w:val="24"/>
          <w:shd w:val="clear" w:color="auto" w:fill="FFFFFF"/>
        </w:rPr>
        <w:t xml:space="preserve"> con autorización para involucrar a terceros expertos si fuera necesario a criterio del Responsable Interno</w:t>
      </w:r>
      <w:r w:rsidR="00D619BF" w:rsidRPr="00B744A1">
        <w:rPr>
          <w:rFonts w:ascii="Garamond" w:hAnsi="Garamond" w:cs="Arial"/>
          <w:sz w:val="24"/>
          <w:szCs w:val="24"/>
          <w:shd w:val="clear" w:color="auto" w:fill="FFFFFF"/>
        </w:rPr>
        <w:t xml:space="preserve">. </w:t>
      </w:r>
    </w:p>
    <w:p w14:paraId="2983C5D9" w14:textId="77777777" w:rsidR="00D619BF" w:rsidRPr="00B744A1" w:rsidRDefault="00D619BF" w:rsidP="002E1351">
      <w:pPr>
        <w:pStyle w:val="Prrafodelista"/>
        <w:jc w:val="both"/>
        <w:rPr>
          <w:rFonts w:ascii="Garamond" w:hAnsi="Garamond" w:cs="Arial"/>
          <w:sz w:val="24"/>
          <w:szCs w:val="24"/>
          <w:shd w:val="clear" w:color="auto" w:fill="FFFFFF"/>
        </w:rPr>
      </w:pPr>
    </w:p>
    <w:p w14:paraId="2AB8ED0B" w14:textId="500B294E" w:rsidR="00D619BF" w:rsidRPr="00B744A1" w:rsidRDefault="00D619BF"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Normativa específica sobre Debida Diligencia de proveedores, clientes y socios comerciales, así como ante eventuales </w:t>
      </w:r>
      <w:r w:rsidR="00F26D1F" w:rsidRPr="00B744A1">
        <w:rPr>
          <w:rFonts w:ascii="Garamond" w:hAnsi="Garamond" w:cs="Arial"/>
          <w:sz w:val="24"/>
          <w:szCs w:val="24"/>
          <w:shd w:val="clear" w:color="auto" w:fill="FFFFFF"/>
        </w:rPr>
        <w:t>transformaciones societarias</w:t>
      </w:r>
      <w:r w:rsidRPr="00B744A1">
        <w:rPr>
          <w:rFonts w:ascii="Garamond" w:hAnsi="Garamond" w:cs="Arial"/>
          <w:sz w:val="24"/>
          <w:szCs w:val="24"/>
          <w:shd w:val="clear" w:color="auto" w:fill="FFFFFF"/>
        </w:rPr>
        <w:t xml:space="preserve"> y adquisiciones. </w:t>
      </w:r>
    </w:p>
    <w:p w14:paraId="136A9517" w14:textId="77777777" w:rsidR="00D619BF" w:rsidRPr="00B744A1" w:rsidRDefault="00D619BF" w:rsidP="002E1351">
      <w:pPr>
        <w:pStyle w:val="Prrafodelista"/>
        <w:jc w:val="both"/>
        <w:rPr>
          <w:rFonts w:ascii="Garamond" w:hAnsi="Garamond" w:cs="Arial"/>
          <w:sz w:val="24"/>
          <w:szCs w:val="24"/>
          <w:shd w:val="clear" w:color="auto" w:fill="FFFFFF"/>
        </w:rPr>
      </w:pPr>
    </w:p>
    <w:p w14:paraId="6BB39D94" w14:textId="67F406A8" w:rsidR="00D619BF" w:rsidRPr="00B744A1" w:rsidRDefault="00D619BF" w:rsidP="002E1351">
      <w:pPr>
        <w:pStyle w:val="Prrafodelista"/>
        <w:numPr>
          <w:ilvl w:val="0"/>
          <w:numId w:val="2"/>
        </w:num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Procedimientos </w:t>
      </w:r>
      <w:r w:rsidR="002E1351" w:rsidRPr="00B744A1">
        <w:rPr>
          <w:rFonts w:ascii="Garamond" w:hAnsi="Garamond" w:cs="Arial"/>
          <w:sz w:val="24"/>
          <w:szCs w:val="24"/>
          <w:shd w:val="clear" w:color="auto" w:fill="FFFFFF"/>
        </w:rPr>
        <w:t>para el Análisis de Riesgos periódicos</w:t>
      </w:r>
      <w:r w:rsidRPr="00B744A1">
        <w:rPr>
          <w:rFonts w:ascii="Garamond" w:hAnsi="Garamond" w:cs="Arial"/>
          <w:sz w:val="24"/>
          <w:szCs w:val="24"/>
          <w:shd w:val="clear" w:color="auto" w:fill="FFFFFF"/>
        </w:rPr>
        <w:t>, monitoreo y evaluación continua.</w:t>
      </w:r>
    </w:p>
    <w:p w14:paraId="64B117CC" w14:textId="488B97EB" w:rsidR="00D619BF" w:rsidRPr="00B744A1" w:rsidRDefault="00D619BF" w:rsidP="00103D58">
      <w:pPr>
        <w:jc w:val="both"/>
        <w:rPr>
          <w:rFonts w:ascii="Garamond" w:hAnsi="Garamond" w:cs="Arial"/>
          <w:sz w:val="24"/>
          <w:szCs w:val="24"/>
          <w:shd w:val="clear" w:color="auto" w:fill="FFFFFF"/>
        </w:rPr>
      </w:pPr>
    </w:p>
    <w:p w14:paraId="2E4FDE33" w14:textId="77777777" w:rsidR="00103D58" w:rsidRPr="00B744A1" w:rsidRDefault="00103D58" w:rsidP="00103D58">
      <w:pPr>
        <w:jc w:val="both"/>
        <w:rPr>
          <w:rFonts w:ascii="Garamond" w:hAnsi="Garamond" w:cs="Arial"/>
          <w:sz w:val="24"/>
          <w:szCs w:val="24"/>
          <w:shd w:val="clear" w:color="auto" w:fill="FFFFFF"/>
        </w:rPr>
      </w:pPr>
    </w:p>
    <w:p w14:paraId="4703A89B" w14:textId="33A50682" w:rsidR="000A0FCE" w:rsidRPr="00B744A1" w:rsidRDefault="00F26D1F" w:rsidP="002E1351">
      <w:pPr>
        <w:jc w:val="both"/>
        <w:rPr>
          <w:rFonts w:ascii="Garamond" w:hAnsi="Garamond" w:cs="Arial"/>
          <w:sz w:val="24"/>
          <w:szCs w:val="24"/>
          <w:shd w:val="clear" w:color="auto" w:fill="FFFFFF"/>
        </w:rPr>
      </w:pPr>
      <w:r w:rsidRPr="00B744A1">
        <w:rPr>
          <w:rFonts w:ascii="Garamond" w:hAnsi="Garamond" w:cs="Arial"/>
          <w:sz w:val="24"/>
          <w:szCs w:val="24"/>
          <w:shd w:val="clear" w:color="auto" w:fill="FFFFFF"/>
        </w:rPr>
        <w:t xml:space="preserve">En la implementación del Plan de Integridad y Cumplimiento se comenzó por </w:t>
      </w:r>
      <w:r w:rsidR="00A32571" w:rsidRPr="00B744A1">
        <w:rPr>
          <w:rFonts w:ascii="Garamond" w:hAnsi="Garamond" w:cs="Arial"/>
          <w:sz w:val="24"/>
          <w:szCs w:val="24"/>
          <w:shd w:val="clear" w:color="auto" w:fill="FFFFFF"/>
        </w:rPr>
        <w:t xml:space="preserve">la identificación de los valores de la Empresa y con </w:t>
      </w:r>
      <w:r w:rsidRPr="00B744A1">
        <w:rPr>
          <w:rFonts w:ascii="Garamond" w:hAnsi="Garamond" w:cs="Arial"/>
          <w:sz w:val="24"/>
          <w:szCs w:val="24"/>
          <w:shd w:val="clear" w:color="auto" w:fill="FFFFFF"/>
        </w:rPr>
        <w:t>un</w:t>
      </w:r>
      <w:r w:rsidR="0049348A" w:rsidRPr="00B744A1">
        <w:rPr>
          <w:rFonts w:ascii="Garamond" w:hAnsi="Garamond" w:cs="Arial"/>
          <w:sz w:val="24"/>
          <w:szCs w:val="24"/>
          <w:shd w:val="clear" w:color="auto" w:fill="FFFFFF"/>
        </w:rPr>
        <w:t>a</w:t>
      </w:r>
      <w:r w:rsidRPr="00B744A1">
        <w:rPr>
          <w:rFonts w:ascii="Garamond" w:hAnsi="Garamond" w:cs="Arial"/>
          <w:sz w:val="24"/>
          <w:szCs w:val="24"/>
          <w:shd w:val="clear" w:color="auto" w:fill="FFFFFF"/>
        </w:rPr>
        <w:t xml:space="preserve"> </w:t>
      </w:r>
      <w:r w:rsidR="0049348A" w:rsidRPr="00B744A1">
        <w:rPr>
          <w:rFonts w:ascii="Garamond" w:hAnsi="Garamond" w:cs="Arial"/>
          <w:sz w:val="24"/>
          <w:szCs w:val="24"/>
          <w:shd w:val="clear" w:color="auto" w:fill="FFFFFF"/>
        </w:rPr>
        <w:t xml:space="preserve">evaluación </w:t>
      </w:r>
      <w:r w:rsidRPr="00B744A1">
        <w:rPr>
          <w:rFonts w:ascii="Garamond" w:hAnsi="Garamond" w:cs="Arial"/>
          <w:sz w:val="24"/>
          <w:szCs w:val="24"/>
          <w:shd w:val="clear" w:color="auto" w:fill="FFFFFF"/>
        </w:rPr>
        <w:t xml:space="preserve">de </w:t>
      </w:r>
      <w:r w:rsidR="00A32571" w:rsidRPr="00B744A1">
        <w:rPr>
          <w:rFonts w:ascii="Garamond" w:hAnsi="Garamond" w:cs="Arial"/>
          <w:sz w:val="24"/>
          <w:szCs w:val="24"/>
          <w:shd w:val="clear" w:color="auto" w:fill="FFFFFF"/>
        </w:rPr>
        <w:t xml:space="preserve">los </w:t>
      </w:r>
      <w:r w:rsidRPr="00B744A1">
        <w:rPr>
          <w:rFonts w:ascii="Garamond" w:hAnsi="Garamond" w:cs="Arial"/>
          <w:sz w:val="24"/>
          <w:szCs w:val="24"/>
          <w:shd w:val="clear" w:color="auto" w:fill="FFFFFF"/>
        </w:rPr>
        <w:t xml:space="preserve">riesgos de </w:t>
      </w:r>
      <w:r w:rsidR="00105CBD">
        <w:rPr>
          <w:rFonts w:ascii="Garamond" w:hAnsi="Garamond" w:cs="Arial"/>
          <w:b/>
          <w:bCs/>
          <w:sz w:val="24"/>
          <w:szCs w:val="24"/>
          <w:shd w:val="clear" w:color="auto" w:fill="FFFFFF"/>
        </w:rPr>
        <w:t>SOLUZIONI</w:t>
      </w:r>
      <w:r w:rsidRPr="007F5EE6">
        <w:rPr>
          <w:rFonts w:ascii="Garamond" w:hAnsi="Garamond" w:cs="Arial"/>
          <w:b/>
          <w:bCs/>
          <w:sz w:val="24"/>
          <w:szCs w:val="24"/>
          <w:shd w:val="clear" w:color="auto" w:fill="FFFFFF"/>
        </w:rPr>
        <w:t xml:space="preserve"> SA</w:t>
      </w:r>
      <w:r w:rsidR="0049348A" w:rsidRPr="00B744A1">
        <w:rPr>
          <w:rFonts w:ascii="Garamond" w:hAnsi="Garamond" w:cs="Arial"/>
          <w:sz w:val="24"/>
          <w:szCs w:val="24"/>
          <w:shd w:val="clear" w:color="auto" w:fill="FFFFFF"/>
        </w:rPr>
        <w:t xml:space="preserve"> considerando las características propias de sus actividades</w:t>
      </w:r>
      <w:r w:rsidR="00A32571" w:rsidRPr="00B744A1">
        <w:rPr>
          <w:rFonts w:ascii="Garamond" w:hAnsi="Garamond" w:cs="Arial"/>
          <w:sz w:val="24"/>
          <w:szCs w:val="24"/>
          <w:shd w:val="clear" w:color="auto" w:fill="FFFFFF"/>
        </w:rPr>
        <w:t>. En este sentido s</w:t>
      </w:r>
      <w:r w:rsidR="0049348A" w:rsidRPr="00B744A1">
        <w:rPr>
          <w:rFonts w:ascii="Garamond" w:hAnsi="Garamond" w:cs="Arial"/>
          <w:sz w:val="24"/>
          <w:szCs w:val="24"/>
          <w:shd w:val="clear" w:color="auto" w:fill="FFFFFF"/>
        </w:rPr>
        <w:t>e analizaron principalmente los riesgos de fraude y corrupción. Sentado ello</w:t>
      </w:r>
      <w:r w:rsidR="00466559" w:rsidRPr="00B744A1">
        <w:rPr>
          <w:rFonts w:ascii="Garamond" w:hAnsi="Garamond" w:cs="Arial"/>
          <w:sz w:val="24"/>
          <w:szCs w:val="24"/>
          <w:shd w:val="clear" w:color="auto" w:fill="FFFFFF"/>
        </w:rPr>
        <w:t xml:space="preserve">, se diseñaron los procedimientos de </w:t>
      </w:r>
      <w:r w:rsidR="00A32571" w:rsidRPr="00B744A1">
        <w:rPr>
          <w:rFonts w:ascii="Garamond" w:hAnsi="Garamond" w:cs="Arial"/>
          <w:sz w:val="24"/>
          <w:szCs w:val="24"/>
          <w:shd w:val="clear" w:color="auto" w:fill="FFFFFF"/>
        </w:rPr>
        <w:t xml:space="preserve">identificación, </w:t>
      </w:r>
      <w:r w:rsidR="00466559" w:rsidRPr="00B744A1">
        <w:rPr>
          <w:rFonts w:ascii="Garamond" w:hAnsi="Garamond" w:cs="Arial"/>
          <w:sz w:val="24"/>
          <w:szCs w:val="24"/>
          <w:shd w:val="clear" w:color="auto" w:fill="FFFFFF"/>
        </w:rPr>
        <w:t>mitigación y control</w:t>
      </w:r>
      <w:r w:rsidR="00A32571" w:rsidRPr="00B744A1">
        <w:rPr>
          <w:rFonts w:ascii="Garamond" w:hAnsi="Garamond" w:cs="Arial"/>
          <w:sz w:val="24"/>
          <w:szCs w:val="24"/>
          <w:shd w:val="clear" w:color="auto" w:fill="FFFFFF"/>
        </w:rPr>
        <w:t xml:space="preserve"> de riesgos</w:t>
      </w:r>
      <w:r w:rsidR="00466559" w:rsidRPr="00B744A1">
        <w:rPr>
          <w:rFonts w:ascii="Garamond" w:hAnsi="Garamond" w:cs="Arial"/>
          <w:sz w:val="24"/>
          <w:szCs w:val="24"/>
          <w:shd w:val="clear" w:color="auto" w:fill="FFFFFF"/>
        </w:rPr>
        <w:t xml:space="preserve">. </w:t>
      </w:r>
      <w:r w:rsidR="00A32571" w:rsidRPr="00B744A1">
        <w:rPr>
          <w:rFonts w:ascii="Garamond" w:hAnsi="Garamond" w:cs="Arial"/>
          <w:sz w:val="24"/>
          <w:szCs w:val="24"/>
          <w:shd w:val="clear" w:color="auto" w:fill="FFFFFF"/>
        </w:rPr>
        <w:t xml:space="preserve">Se diseñaron los procedimientos de investigación y denuncias, así como los de capacitación y difusión (debida diligencia a terceros). </w:t>
      </w:r>
    </w:p>
    <w:p w14:paraId="22B8CB6D" w14:textId="1AAD1C02" w:rsidR="00B744A1" w:rsidRPr="00B744A1" w:rsidRDefault="00B744A1" w:rsidP="002E1351">
      <w:pPr>
        <w:jc w:val="both"/>
        <w:rPr>
          <w:rFonts w:ascii="Garamond" w:hAnsi="Garamond" w:cs="Arial"/>
          <w:sz w:val="24"/>
          <w:szCs w:val="24"/>
          <w:shd w:val="clear" w:color="auto" w:fill="FFFFFF"/>
        </w:rPr>
      </w:pPr>
    </w:p>
    <w:p w14:paraId="7E182E4C" w14:textId="77777777" w:rsidR="00B744A1" w:rsidRPr="00B744A1" w:rsidRDefault="00B744A1" w:rsidP="002E1351">
      <w:pPr>
        <w:jc w:val="both"/>
        <w:rPr>
          <w:rFonts w:ascii="Garamond" w:hAnsi="Garamond" w:cs="Arial"/>
          <w:sz w:val="24"/>
          <w:szCs w:val="24"/>
          <w:shd w:val="clear" w:color="auto" w:fill="FFFFFF"/>
        </w:rPr>
      </w:pPr>
    </w:p>
    <w:p w14:paraId="21E02075" w14:textId="7772B072" w:rsidR="00A32571" w:rsidRPr="00B744A1" w:rsidRDefault="00B744A1" w:rsidP="00123BC0">
      <w:pPr>
        <w:jc w:val="center"/>
        <w:rPr>
          <w:rFonts w:ascii="Garamond" w:hAnsi="Garamond" w:cs="Arial"/>
          <w:sz w:val="24"/>
          <w:szCs w:val="24"/>
          <w:shd w:val="clear" w:color="auto" w:fill="FFFFFF"/>
        </w:rPr>
      </w:pPr>
      <w:r w:rsidRPr="00B744A1">
        <w:rPr>
          <w:rFonts w:ascii="Garamond" w:hAnsi="Garamond" w:cs="Arial"/>
          <w:sz w:val="24"/>
          <w:szCs w:val="24"/>
          <w:shd w:val="clear" w:color="auto" w:fill="FFFFFF"/>
        </w:rPr>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r w:rsidRPr="00B744A1">
        <w:rPr>
          <w:rFonts w:ascii="Garamond" w:hAnsi="Garamond" w:cs="Arial"/>
          <w:sz w:val="24"/>
          <w:szCs w:val="24"/>
          <w:shd w:val="clear" w:color="auto" w:fill="FFFFFF"/>
        </w:rPr>
        <w:tab/>
        <w:t>*</w:t>
      </w:r>
    </w:p>
    <w:p w14:paraId="20B7B666" w14:textId="42DD1835" w:rsidR="00103D58" w:rsidRPr="00B744A1" w:rsidRDefault="00103D58" w:rsidP="002E1351">
      <w:pPr>
        <w:jc w:val="both"/>
        <w:rPr>
          <w:rFonts w:ascii="Garamond" w:hAnsi="Garamond" w:cs="Arial"/>
          <w:sz w:val="24"/>
          <w:szCs w:val="24"/>
          <w:shd w:val="clear" w:color="auto" w:fill="FFFFFF"/>
        </w:rPr>
      </w:pPr>
    </w:p>
    <w:p w14:paraId="36F68917" w14:textId="77777777" w:rsidR="00103D58" w:rsidRPr="00B744A1" w:rsidRDefault="00103D58" w:rsidP="002E1351">
      <w:pPr>
        <w:jc w:val="both"/>
        <w:rPr>
          <w:rFonts w:ascii="Garamond" w:hAnsi="Garamond" w:cs="Arial"/>
          <w:sz w:val="24"/>
          <w:szCs w:val="24"/>
          <w:shd w:val="clear" w:color="auto" w:fill="FFFFFF"/>
        </w:rPr>
      </w:pPr>
    </w:p>
    <w:sectPr w:rsidR="00103D58" w:rsidRPr="00B744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E97D" w14:textId="77777777" w:rsidR="00AE69B3" w:rsidRDefault="00AE69B3" w:rsidP="00E305D9">
      <w:pPr>
        <w:spacing w:line="240" w:lineRule="auto"/>
      </w:pPr>
      <w:r>
        <w:separator/>
      </w:r>
    </w:p>
  </w:endnote>
  <w:endnote w:type="continuationSeparator" w:id="0">
    <w:p w14:paraId="09364745" w14:textId="77777777" w:rsidR="00AE69B3" w:rsidRDefault="00AE69B3" w:rsidP="00E30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34C7" w14:textId="77777777" w:rsidR="00B744A1" w:rsidRDefault="00B744A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7DAC4F19" w14:textId="16522D1C" w:rsidR="00B744A1" w:rsidRDefault="00123BC0" w:rsidP="00123BC0">
    <w:pPr>
      <w:pStyle w:val="Piedepgina"/>
      <w:jc w:val="center"/>
    </w:pPr>
    <w:r>
      <w:t>Cuba 2777, CABA  (+ 54) 11 4839 3900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D4EE" w14:textId="77777777" w:rsidR="00AE69B3" w:rsidRDefault="00AE69B3" w:rsidP="00E305D9">
      <w:pPr>
        <w:spacing w:line="240" w:lineRule="auto"/>
      </w:pPr>
      <w:r>
        <w:separator/>
      </w:r>
    </w:p>
  </w:footnote>
  <w:footnote w:type="continuationSeparator" w:id="0">
    <w:p w14:paraId="203D318B" w14:textId="77777777" w:rsidR="00AE69B3" w:rsidRDefault="00AE69B3" w:rsidP="00E305D9">
      <w:pPr>
        <w:spacing w:line="240" w:lineRule="auto"/>
      </w:pPr>
      <w:r>
        <w:continuationSeparator/>
      </w:r>
    </w:p>
  </w:footnote>
  <w:footnote w:id="1">
    <w:p w14:paraId="1268A835" w14:textId="66456A06" w:rsidR="00E305D9" w:rsidRPr="00B744A1" w:rsidRDefault="00E305D9" w:rsidP="00E305D9">
      <w:pPr>
        <w:pStyle w:val="Textonotapie"/>
        <w:jc w:val="both"/>
        <w:rPr>
          <w:rFonts w:ascii="Garamond" w:hAnsi="Garamond"/>
          <w:lang w:val="es-ES"/>
        </w:rPr>
      </w:pPr>
      <w:r w:rsidRPr="00B744A1">
        <w:rPr>
          <w:rStyle w:val="Refdenotaalpie"/>
          <w:rFonts w:ascii="Garamond" w:hAnsi="Garamond"/>
        </w:rPr>
        <w:footnoteRef/>
      </w:r>
      <w:r w:rsidRPr="00B744A1">
        <w:rPr>
          <w:rFonts w:ascii="Garamond" w:hAnsi="Garamond"/>
        </w:rPr>
        <w:t xml:space="preserve"> SINTESIS DE LA LEY 27.401: Esta ley establece el régimen de responsabilidad penal aplicable a las personas jurídicas privadas, indistintamente sea su forma legal, de capital nacional o extranjero, con o sin participación estatal. Sean asociaciones civiles, fundaciones, mutuales o cooperativas.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DELITOS</w:t>
      </w:r>
      <w:r w:rsidRPr="00B744A1">
        <w:rPr>
          <w:rFonts w:ascii="Garamond" w:hAnsi="Garamond"/>
        </w:rPr>
        <w:t xml:space="preserve">: - Cohecho y tráfico de influencias, nacional y transnacional (previstos por los artículos 258 y 258 bis del Código Penal). - Negociaciones incompatibles con el ejercicio de funciones públicas (previstas por el artículo 265 del Código Penal). - Concusión o exacción ilegal (prevista por el artículo 268 del Código Penal). - Enriquecimiento ilícito de funcionarios y empleados públicos (previsto por los artículos 268 del Código Penal). - Balances e informes falsos agravados (previsto por el artículo 300 bis del Código Penal).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RESPONSABILIDAD DE LAS PERSONAS JURÍDICAS</w:t>
      </w:r>
      <w:r w:rsidRPr="00B744A1">
        <w:rPr>
          <w:rFonts w:ascii="Garamond" w:hAnsi="Garamond"/>
        </w:rPr>
        <w:t xml:space="preserve">: - Por delitos que hubieren sido realizados, de forma directa o indirecta, con su intervención o en su nombre, interés o su beneficio. - Por sus empleados o terceros, siempre que la persona jurídica hubiese ratificado su gestión. - La persona jurídica queda exenta de responsabilidad si aquel que cometió el delito hubiese actuado exclusivamente en su beneficio. -Ante cualquier modificación societaria, la responsabilidad es transmitida a la persona jurídica resultante o absorbente - La persona jurídica será responsable, aunque no haya sido posible identificar la persona física, siempre que se establezca que el delito no se podría haber cometido sin la tolerancia de los órganos de la persona jurídica.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PRESCRIPCIÓN</w:t>
      </w:r>
      <w:r w:rsidRPr="00B744A1">
        <w:rPr>
          <w:rFonts w:ascii="Garamond" w:hAnsi="Garamond"/>
        </w:rPr>
        <w:t xml:space="preserve">: A los 6 años de la comisión del delito.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SANCIONES</w:t>
      </w:r>
      <w:r w:rsidRPr="00B744A1">
        <w:rPr>
          <w:rFonts w:ascii="Garamond" w:hAnsi="Garamond"/>
        </w:rPr>
        <w:t xml:space="preserve">: - Multa de 2 a 5 veces el beneficio indebido. - Suspensión total o parcial de actividades (máx. 10 años). - Suspensión para participar en concursos o licitaciones estatales (máx. 10 años) - Disolución y liquidación de la personería cuando su función principal o motivo de creación, hubiese sido cometer el delito. - Pérdida o suspensión de beneficios estatales. - Publicación de un extracto de la sentencia condenatoria a costa de la persona jurídica.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AGRAVANTES Y ATENUANTES</w:t>
      </w:r>
      <w:r w:rsidRPr="00B744A1">
        <w:rPr>
          <w:rFonts w:ascii="Garamond" w:hAnsi="Garamond"/>
        </w:rPr>
        <w:t xml:space="preserve">: - Funcionamiento de control y supervisión adecuados del programa de integridad. - Jerarquía de los involucrados. - Omisión de vigilancia. - Extensión del daño causado. - Monto de dinero involucrado en el delito. - Denuncia espontánea como resultado detección interna. - Disposición para resarcir el daño. - Cooperación con la investigación.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ACUERDOS DE COLABORACIÓN EFICAZ</w:t>
      </w:r>
      <w:r w:rsidRPr="00B744A1">
        <w:rPr>
          <w:rFonts w:ascii="Garamond" w:hAnsi="Garamond"/>
        </w:rPr>
        <w:t xml:space="preserve">: (entre la persona jurídica y el Ministerio Público Fiscal) - Datos precisos, útiles y comprobables para el esclarecimiento de los hechos. - Identificación de autores. - Medidas disciplinarias contra quienes hayan participado en el hecho. - Pago de la multa mínima. - Devolución de las ganancias. - Reparación de los daños efectuados. - Realización de servicios a favor de la comunidad. Si se corrobora la verosimilitud y utilidad de los datos aportados, la sentencia deberá respetar las condiciones pactadas en el acuerdo, no pudiendo imponerse otras penas. </w:t>
      </w:r>
      <w:r w:rsidRPr="00B744A1">
        <w:rPr>
          <w:rFonts w:ascii="Garamond" w:hAnsi="Garamond"/>
        </w:rPr>
        <w:sym w:font="Symbol" w:char="F0B7"/>
      </w:r>
      <w:r w:rsidRPr="00B744A1">
        <w:rPr>
          <w:rFonts w:ascii="Garamond" w:hAnsi="Garamond"/>
        </w:rPr>
        <w:t xml:space="preserve"> </w:t>
      </w:r>
      <w:r w:rsidRPr="00B744A1">
        <w:rPr>
          <w:rFonts w:ascii="Garamond" w:hAnsi="Garamond"/>
          <w:u w:val="single"/>
        </w:rPr>
        <w:t>EXENCIÓN DE PENA</w:t>
      </w:r>
      <w:r w:rsidRPr="00B744A1">
        <w:rPr>
          <w:rFonts w:ascii="Garamond" w:hAnsi="Garamond"/>
        </w:rPr>
        <w:t>: Cuando se den simultáneamente: 1-Denuncia espontanea, resultado de investigación interna. 2- Cuente con un programa de Integridad implementado antes del delito. 3-Devolución del beneficio indebido.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C58A" w14:textId="759A5AD0" w:rsidR="00B744A1" w:rsidRDefault="00123BC0">
    <w:pPr>
      <w:pStyle w:val="Encabezado"/>
    </w:pPr>
    <w:r>
      <w:rPr>
        <w:noProof/>
      </w:rPr>
      <w:drawing>
        <wp:anchor distT="0" distB="0" distL="114300" distR="114300" simplePos="0" relativeHeight="251658240" behindDoc="1" locked="0" layoutInCell="1" allowOverlap="1" wp14:editId="28AF8F38">
          <wp:simplePos x="0" y="0"/>
          <wp:positionH relativeFrom="margin">
            <wp:align>center</wp:align>
          </wp:positionH>
          <wp:positionV relativeFrom="paragraph">
            <wp:posOffset>-123825</wp:posOffset>
          </wp:positionV>
          <wp:extent cx="2324100" cy="5715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D12"/>
    <w:multiLevelType w:val="hybridMultilevel"/>
    <w:tmpl w:val="9BA8146A"/>
    <w:lvl w:ilvl="0" w:tplc="10969556">
      <w:start w:val="1"/>
      <w:numFmt w:val="decimal"/>
      <w:lvlText w:val="%1."/>
      <w:lvlJc w:val="left"/>
      <w:pPr>
        <w:ind w:left="720" w:hanging="360"/>
      </w:pPr>
      <w:rPr>
        <w:rFonts w:ascii="Arial" w:hAnsi="Arial" w:cs="Arial" w:hint="default"/>
        <w:color w:val="66666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E5856A3"/>
    <w:multiLevelType w:val="hybridMultilevel"/>
    <w:tmpl w:val="9BA8146A"/>
    <w:lvl w:ilvl="0" w:tplc="10969556">
      <w:start w:val="1"/>
      <w:numFmt w:val="decimal"/>
      <w:lvlText w:val="%1."/>
      <w:lvlJc w:val="left"/>
      <w:pPr>
        <w:ind w:left="720" w:hanging="360"/>
      </w:pPr>
      <w:rPr>
        <w:rFonts w:ascii="Arial" w:hAnsi="Arial" w:cs="Arial" w:hint="default"/>
        <w:color w:val="66666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53671986">
    <w:abstractNumId w:val="1"/>
  </w:num>
  <w:num w:numId="2" w16cid:durableId="99480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CE"/>
    <w:rsid w:val="000A061F"/>
    <w:rsid w:val="000A0FCE"/>
    <w:rsid w:val="00103D58"/>
    <w:rsid w:val="00105CBD"/>
    <w:rsid w:val="00123BC0"/>
    <w:rsid w:val="002E1351"/>
    <w:rsid w:val="00395223"/>
    <w:rsid w:val="003D4F24"/>
    <w:rsid w:val="00450E1A"/>
    <w:rsid w:val="00466559"/>
    <w:rsid w:val="0049348A"/>
    <w:rsid w:val="007B6F07"/>
    <w:rsid w:val="007F5EE6"/>
    <w:rsid w:val="00803E37"/>
    <w:rsid w:val="0088539C"/>
    <w:rsid w:val="008A2AF8"/>
    <w:rsid w:val="00942A68"/>
    <w:rsid w:val="00972D9C"/>
    <w:rsid w:val="00A32571"/>
    <w:rsid w:val="00A95467"/>
    <w:rsid w:val="00AE69B3"/>
    <w:rsid w:val="00B744A1"/>
    <w:rsid w:val="00C910C4"/>
    <w:rsid w:val="00D619BF"/>
    <w:rsid w:val="00DF4DCA"/>
    <w:rsid w:val="00E139F9"/>
    <w:rsid w:val="00E305D9"/>
    <w:rsid w:val="00F26D1F"/>
    <w:rsid w:val="00F521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205B"/>
  <w15:chartTrackingRefBased/>
  <w15:docId w15:val="{594EFADB-CC4A-48E3-BD58-C7B99B4E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0FC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A0FCE"/>
    <w:rPr>
      <w:color w:val="0000FF"/>
      <w:u w:val="single"/>
    </w:rPr>
  </w:style>
  <w:style w:type="character" w:customStyle="1" w:styleId="Ttulo1Car">
    <w:name w:val="Título 1 Car"/>
    <w:basedOn w:val="Fuentedeprrafopredeter"/>
    <w:link w:val="Ttulo1"/>
    <w:uiPriority w:val="9"/>
    <w:rsid w:val="000A0FC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95467"/>
    <w:pPr>
      <w:ind w:left="720"/>
      <w:contextualSpacing/>
    </w:pPr>
  </w:style>
  <w:style w:type="paragraph" w:styleId="Ttulo">
    <w:name w:val="Title"/>
    <w:basedOn w:val="Normal"/>
    <w:next w:val="Normal"/>
    <w:link w:val="TtuloCar"/>
    <w:uiPriority w:val="10"/>
    <w:qFormat/>
    <w:rsid w:val="002E1351"/>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1351"/>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E305D9"/>
    <w:pPr>
      <w:spacing w:line="240" w:lineRule="auto"/>
    </w:pPr>
    <w:rPr>
      <w:sz w:val="20"/>
      <w:szCs w:val="20"/>
    </w:rPr>
  </w:style>
  <w:style w:type="character" w:customStyle="1" w:styleId="TextonotapieCar">
    <w:name w:val="Texto nota pie Car"/>
    <w:basedOn w:val="Fuentedeprrafopredeter"/>
    <w:link w:val="Textonotapie"/>
    <w:uiPriority w:val="99"/>
    <w:semiHidden/>
    <w:rsid w:val="00E305D9"/>
    <w:rPr>
      <w:sz w:val="20"/>
      <w:szCs w:val="20"/>
    </w:rPr>
  </w:style>
  <w:style w:type="character" w:styleId="Refdenotaalpie">
    <w:name w:val="footnote reference"/>
    <w:basedOn w:val="Fuentedeprrafopredeter"/>
    <w:uiPriority w:val="99"/>
    <w:semiHidden/>
    <w:unhideWhenUsed/>
    <w:rsid w:val="00E305D9"/>
    <w:rPr>
      <w:vertAlign w:val="superscript"/>
    </w:rPr>
  </w:style>
  <w:style w:type="paragraph" w:styleId="Encabezado">
    <w:name w:val="header"/>
    <w:basedOn w:val="Normal"/>
    <w:link w:val="EncabezadoCar"/>
    <w:uiPriority w:val="99"/>
    <w:unhideWhenUsed/>
    <w:rsid w:val="00B744A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744A1"/>
  </w:style>
  <w:style w:type="paragraph" w:styleId="Piedepgina">
    <w:name w:val="footer"/>
    <w:basedOn w:val="Normal"/>
    <w:link w:val="PiedepginaCar"/>
    <w:uiPriority w:val="99"/>
    <w:unhideWhenUsed/>
    <w:rsid w:val="00B744A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7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8FC5-5BB0-4EEF-AA87-EFB89297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Bartolomé I Homar Más</dc:creator>
  <cp:keywords/>
  <dc:description/>
  <cp:lastModifiedBy>Rodrii</cp:lastModifiedBy>
  <cp:revision>3</cp:revision>
  <dcterms:created xsi:type="dcterms:W3CDTF">2023-01-02T11:59:00Z</dcterms:created>
  <dcterms:modified xsi:type="dcterms:W3CDTF">2023-01-02T12:01:00Z</dcterms:modified>
</cp:coreProperties>
</file>